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3C381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0FDD">
        <w:rPr>
          <w:rFonts w:ascii="Times New Roman" w:hAnsi="Times New Roman" w:cs="Times New Roman"/>
          <w:b/>
          <w:sz w:val="20"/>
          <w:szCs w:val="20"/>
        </w:rPr>
        <w:t>Supplementary Material</w:t>
      </w:r>
    </w:p>
    <w:p w14:paraId="369FFAC4" w14:textId="77777777" w:rsidR="00202390" w:rsidRDefault="00202390" w:rsidP="00202390">
      <w:pPr>
        <w:widowControl w:val="0"/>
        <w:autoSpaceDE w:val="0"/>
        <w:autoSpaceDN w:val="0"/>
        <w:adjustRightInd w:val="0"/>
        <w:spacing w:after="0" w:line="48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sz w:val="20"/>
          <w:szCs w:val="20"/>
        </w:rPr>
        <w:t>Table S1 – S2 and Figures S1 – S3 provide additional information, as referenced in the primary text of the manuscript.</w:t>
      </w:r>
    </w:p>
    <w:p w14:paraId="3263EEF2" w14:textId="77777777" w:rsidR="00202390" w:rsidRDefault="00202390" w:rsidP="00202390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How to Compute Conditional Test Reliability for an Arbitrary Set of Items</w:t>
      </w:r>
    </w:p>
    <w:p w14:paraId="3ED2872A" w14:textId="77777777" w:rsidR="00202390" w:rsidRPr="00D83AC8" w:rsidRDefault="00202390" w:rsidP="00202390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In the manuscript, we note that the item parameters reported in Table 2 can be used to compute conditional test reliability for an arbitrary subset of FFMQ items.  Below we provide a brief sketch of the steps involved in doing so.  We refer readers to the following sources for more detailed elaborations </w:t>
      </w:r>
      <w:r>
        <w:rPr>
          <w:rFonts w:ascii="Times New Roman" w:hAnsi="Times New Roman" w:cs="Times New Roman"/>
          <w:noProof/>
          <w:sz w:val="20"/>
          <w:szCs w:val="20"/>
        </w:rPr>
        <w:t>(de Ayala, 2009; Edelen &amp; Reeve, 2007; Edwards, 2009; Reise et al., 2005)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D983A83" w14:textId="77777777" w:rsidR="00202390" w:rsidRDefault="00202390" w:rsidP="00202390">
      <w:pPr>
        <w:pStyle w:val="ListParagraph"/>
        <w:numPr>
          <w:ilvl w:val="0"/>
          <w:numId w:val="1"/>
        </w:numPr>
        <w:spacing w:after="0" w:line="480" w:lineRule="auto"/>
        <w:ind w:left="6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Select a subset of items for which to compute conditional test reliability.</w:t>
      </w:r>
    </w:p>
    <w:p w14:paraId="44098EC7" w14:textId="77777777" w:rsidR="00202390" w:rsidRDefault="00202390" w:rsidP="00202390">
      <w:pPr>
        <w:pStyle w:val="ListParagraph"/>
        <w:numPr>
          <w:ilvl w:val="0"/>
          <w:numId w:val="1"/>
        </w:numPr>
        <w:spacing w:after="0" w:line="480" w:lineRule="auto"/>
        <w:ind w:left="6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Transform the item parameters of each item (i.e., the slope and thresholds) into an item information function.  This can be accomplished using IRT software, such as the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mirt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package </w:t>
      </w: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(Chalmer, 2012)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used in this manuscript.  The item information function describes the information in an item across a range of values of the latent variable, theta.</w:t>
      </w:r>
    </w:p>
    <w:p w14:paraId="3DB7444E" w14:textId="77777777" w:rsidR="00202390" w:rsidRDefault="00202390" w:rsidP="00202390">
      <w:pPr>
        <w:pStyle w:val="ListParagraph"/>
        <w:numPr>
          <w:ilvl w:val="0"/>
          <w:numId w:val="1"/>
        </w:numPr>
        <w:spacing w:after="0" w:line="480" w:lineRule="auto"/>
        <w:ind w:left="6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Add together the item information functions for each of the subset of items that will contribute to conditional test reliability.  This produces a test information function.  The test information function describes the information in a test across a range of values of the latent variable.  For example, in a hypothetical scale with two items, item information functions would be added by taking the information from item 1 and item 2 at the same value of the latent variable and summing them together.</w:t>
      </w:r>
    </w:p>
    <w:p w14:paraId="3AC44046" w14:textId="77777777" w:rsidR="00202390" w:rsidRPr="00FD6F63" w:rsidRDefault="00202390" w:rsidP="00202390">
      <w:pPr>
        <w:pStyle w:val="ListParagraph"/>
        <w:numPr>
          <w:ilvl w:val="0"/>
          <w:numId w:val="1"/>
        </w:numPr>
        <w:spacing w:after="0" w:line="480" w:lineRule="auto"/>
        <w:ind w:left="6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Convert the test information function into a test reliability function.  </w:t>
      </w:r>
      <w:r w:rsidRPr="004A0BCB">
        <w:rPr>
          <w:rFonts w:ascii="Times New Roman" w:eastAsia="Times New Roman" w:hAnsi="Times New Roman" w:cs="Times New Roman"/>
          <w:color w:val="000000"/>
          <w:sz w:val="20"/>
          <w:szCs w:val="20"/>
        </w:rPr>
        <w:t>Information and reliability have a direct relationship, where 1 minus</w:t>
      </w:r>
      <w:r w:rsidRPr="004A0BC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</w:t>
      </w:r>
      <w:r w:rsidRPr="004A0BCB">
        <w:rPr>
          <w:rFonts w:ascii="Times New Roman" w:eastAsia="Times New Roman" w:hAnsi="Times New Roman" w:cs="Times New Roman"/>
          <w:color w:val="000000"/>
          <w:sz w:val="20"/>
          <w:szCs w:val="20"/>
        </w:rPr>
        <w:t>the inverse of the information value at a specific value of the latent variable is the reliability at that value of the latent variable. Consequently, if a researcher knows the amount of information at a specific value of the latent variable (found using the test information function), then a researcher would know the conditional reliability at that same specifi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 value of the latent variable.</w:t>
      </w:r>
    </w:p>
    <w:p w14:paraId="15E29267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202390" w:rsidRPr="004C0FDD" w:rsidSect="0000365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0172C25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sz w:val="20"/>
          <w:szCs w:val="20"/>
        </w:rPr>
        <w:lastRenderedPageBreak/>
        <w:t>Table S1</w:t>
      </w:r>
    </w:p>
    <w:p w14:paraId="04056029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i/>
          <w:sz w:val="20"/>
          <w:szCs w:val="20"/>
        </w:rPr>
        <w:t>Coefficient Alpha Reliability of FFMQ Forms</w:t>
      </w:r>
    </w:p>
    <w:p w14:paraId="5D46BAC4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206"/>
        <w:gridCol w:w="1206"/>
        <w:gridCol w:w="1226"/>
        <w:gridCol w:w="1187"/>
        <w:gridCol w:w="1206"/>
        <w:gridCol w:w="1207"/>
      </w:tblGrid>
      <w:tr w:rsidR="00202390" w:rsidRPr="004C0FDD" w14:paraId="32BCD903" w14:textId="77777777" w:rsidTr="00F227B5">
        <w:trPr>
          <w:trHeight w:val="83"/>
        </w:trPr>
        <w:tc>
          <w:tcPr>
            <w:tcW w:w="1134" w:type="pct"/>
            <w:vMerge w:val="restart"/>
            <w:tcBorders>
              <w:top w:val="single" w:sz="4" w:space="0" w:color="auto"/>
            </w:tcBorders>
            <w:vAlign w:val="center"/>
          </w:tcPr>
          <w:p w14:paraId="7D77E20B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Facet</w:t>
            </w:r>
          </w:p>
        </w:tc>
        <w:tc>
          <w:tcPr>
            <w:tcW w:w="19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AEF6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Primary Sample (</w:t>
            </w:r>
            <w:proofErr w:type="spellStart"/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MTurk</w:t>
            </w:r>
            <w:proofErr w:type="spellEnd"/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92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01405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Replication Sample (Clinical)</w:t>
            </w:r>
          </w:p>
        </w:tc>
      </w:tr>
      <w:tr w:rsidR="00202390" w:rsidRPr="004C0FDD" w14:paraId="32C0439E" w14:textId="77777777" w:rsidTr="00F227B5">
        <w:trPr>
          <w:trHeight w:val="83"/>
        </w:trPr>
        <w:tc>
          <w:tcPr>
            <w:tcW w:w="1134" w:type="pct"/>
            <w:vMerge/>
            <w:tcBorders>
              <w:bottom w:val="single" w:sz="4" w:space="0" w:color="auto"/>
            </w:tcBorders>
            <w:vAlign w:val="center"/>
          </w:tcPr>
          <w:p w14:paraId="11DE0FB9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DF890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FFMQ-39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56350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FFMQ-24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FB3FA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FFMQ-15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85556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FFMQ-39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EA413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FFMQ-24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952F4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FFMQ-15</w:t>
            </w:r>
          </w:p>
        </w:tc>
      </w:tr>
      <w:tr w:rsidR="00202390" w:rsidRPr="004C0FDD" w14:paraId="6243E0F0" w14:textId="77777777" w:rsidTr="00F227B5">
        <w:trPr>
          <w:trHeight w:val="207"/>
        </w:trPr>
        <w:tc>
          <w:tcPr>
            <w:tcW w:w="1134" w:type="pct"/>
            <w:tcBorders>
              <w:top w:val="single" w:sz="4" w:space="0" w:color="auto"/>
            </w:tcBorders>
          </w:tcPr>
          <w:p w14:paraId="14EECA3C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Acting with awareness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11E5D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6A2F7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694A6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21A9FB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2B775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4E2F6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0.68</w:t>
            </w:r>
          </w:p>
        </w:tc>
      </w:tr>
      <w:tr w:rsidR="00202390" w:rsidRPr="004C0FDD" w14:paraId="60E73D39" w14:textId="77777777" w:rsidTr="00F227B5">
        <w:trPr>
          <w:trHeight w:val="207"/>
        </w:trPr>
        <w:tc>
          <w:tcPr>
            <w:tcW w:w="1134" w:type="pct"/>
          </w:tcPr>
          <w:p w14:paraId="611954D7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Describing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AD66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0EE1B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69A9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148CB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9C4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4BC2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0.64</w:t>
            </w:r>
          </w:p>
        </w:tc>
      </w:tr>
      <w:tr w:rsidR="00202390" w:rsidRPr="004C0FDD" w14:paraId="259FF522" w14:textId="77777777" w:rsidTr="00F227B5">
        <w:trPr>
          <w:trHeight w:val="207"/>
        </w:trPr>
        <w:tc>
          <w:tcPr>
            <w:tcW w:w="1134" w:type="pct"/>
          </w:tcPr>
          <w:p w14:paraId="22249557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Nonjudging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1F814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7106D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F480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903D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F67C6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CFB42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0.69</w:t>
            </w:r>
          </w:p>
        </w:tc>
      </w:tr>
      <w:tr w:rsidR="00202390" w:rsidRPr="004C0FDD" w14:paraId="41F84FD5" w14:textId="77777777" w:rsidTr="00F227B5">
        <w:trPr>
          <w:trHeight w:val="207"/>
        </w:trPr>
        <w:tc>
          <w:tcPr>
            <w:tcW w:w="1134" w:type="pct"/>
          </w:tcPr>
          <w:p w14:paraId="048BF13F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Nonreactivity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2B3D7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9EA30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0.80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A1E49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B143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5098B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E7CD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0.64</w:t>
            </w:r>
          </w:p>
        </w:tc>
      </w:tr>
      <w:tr w:rsidR="00202390" w:rsidRPr="004C0FDD" w14:paraId="28FD5AAD" w14:textId="77777777" w:rsidTr="00F227B5">
        <w:trPr>
          <w:trHeight w:val="207"/>
        </w:trPr>
        <w:tc>
          <w:tcPr>
            <w:tcW w:w="1134" w:type="pct"/>
            <w:tcBorders>
              <w:bottom w:val="single" w:sz="4" w:space="0" w:color="auto"/>
            </w:tcBorders>
          </w:tcPr>
          <w:p w14:paraId="6E1B663C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Observing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2DED0E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8EC033B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44E3C6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E2E7CB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E30774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A1A32A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</w:p>
        </w:tc>
      </w:tr>
    </w:tbl>
    <w:p w14:paraId="1A8C5F37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i/>
          <w:sz w:val="20"/>
          <w:szCs w:val="20"/>
        </w:rPr>
        <w:t>Note.</w:t>
      </w:r>
      <w:r w:rsidRPr="004C0FDD">
        <w:rPr>
          <w:rFonts w:ascii="Times New Roman" w:hAnsi="Times New Roman" w:cs="Times New Roman"/>
          <w:sz w:val="20"/>
          <w:szCs w:val="20"/>
        </w:rPr>
        <w:t xml:space="preserve"> All values are coefficient alphas.</w:t>
      </w:r>
    </w:p>
    <w:p w14:paraId="162D7595" w14:textId="77777777" w:rsidR="00202390" w:rsidRPr="004C0FDD" w:rsidRDefault="00202390" w:rsidP="00202390">
      <w:pPr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sz w:val="20"/>
          <w:szCs w:val="20"/>
        </w:rPr>
        <w:br w:type="page"/>
      </w:r>
    </w:p>
    <w:p w14:paraId="69049C3C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sz w:val="20"/>
          <w:szCs w:val="20"/>
        </w:rPr>
        <w:lastRenderedPageBreak/>
        <w:t>Table S2</w:t>
      </w:r>
    </w:p>
    <w:p w14:paraId="70EA9218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i/>
          <w:sz w:val="20"/>
          <w:szCs w:val="20"/>
        </w:rPr>
        <w:t>Relation of Short-Form Factor Scores to FFMQ-39 Factor Scores</w:t>
      </w:r>
    </w:p>
    <w:p w14:paraId="71F39CED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070"/>
        <w:gridCol w:w="1507"/>
        <w:gridCol w:w="1508"/>
        <w:gridCol w:w="1507"/>
        <w:gridCol w:w="1508"/>
      </w:tblGrid>
      <w:tr w:rsidR="00202390" w:rsidRPr="004C0FDD" w14:paraId="59EF588B" w14:textId="77777777" w:rsidTr="00F227B5">
        <w:tc>
          <w:tcPr>
            <w:tcW w:w="1260" w:type="dxa"/>
            <w:vMerge w:val="restart"/>
            <w:tcBorders>
              <w:top w:val="single" w:sz="4" w:space="0" w:color="auto"/>
            </w:tcBorders>
            <w:vAlign w:val="center"/>
          </w:tcPr>
          <w:p w14:paraId="29D813D4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Metric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14:paraId="617D7CDD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Facet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C03C0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Primary Sample (</w:t>
            </w:r>
            <w:proofErr w:type="spellStart"/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MTurk</w:t>
            </w:r>
            <w:proofErr w:type="spellEnd"/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8B1F3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Replication Sample (Clinical)</w:t>
            </w:r>
          </w:p>
        </w:tc>
      </w:tr>
      <w:tr w:rsidR="00202390" w:rsidRPr="004C0FDD" w14:paraId="71DAF703" w14:textId="77777777" w:rsidTr="00F227B5"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14:paraId="4E24BF36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14:paraId="72C86370" w14:textId="77777777" w:rsidR="00202390" w:rsidRPr="004C0FDD" w:rsidRDefault="00202390" w:rsidP="00F227B5">
            <w:pPr>
              <w:widowControl w:val="0"/>
              <w:tabs>
                <w:tab w:val="left" w:pos="11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C450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FFMQ-24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F805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FFMQ-15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5B22E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FFMQ-24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6ACC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b/>
                <w:sz w:val="20"/>
                <w:szCs w:val="20"/>
              </w:rPr>
              <w:t>FFMQ-15</w:t>
            </w:r>
          </w:p>
        </w:tc>
      </w:tr>
      <w:tr w:rsidR="00202390" w:rsidRPr="004C0FDD" w14:paraId="6E43854F" w14:textId="77777777" w:rsidTr="00F227B5">
        <w:tc>
          <w:tcPr>
            <w:tcW w:w="1260" w:type="dxa"/>
            <w:tcBorders>
              <w:top w:val="single" w:sz="4" w:space="0" w:color="auto"/>
            </w:tcBorders>
          </w:tcPr>
          <w:p w14:paraId="7843254C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Correlation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2FAD483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Acting with awareness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center"/>
          </w:tcPr>
          <w:p w14:paraId="2BB781D4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0.96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14:paraId="39FC6C7F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0.94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center"/>
          </w:tcPr>
          <w:p w14:paraId="23DB0CBF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14:paraId="2584AF3D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</w:tr>
      <w:tr w:rsidR="00202390" w:rsidRPr="004C0FDD" w14:paraId="12793838" w14:textId="77777777" w:rsidTr="00F227B5">
        <w:tc>
          <w:tcPr>
            <w:tcW w:w="1260" w:type="dxa"/>
          </w:tcPr>
          <w:p w14:paraId="2F5E12D9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</w:tcPr>
          <w:p w14:paraId="4705DF15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Describing</w:t>
            </w:r>
          </w:p>
        </w:tc>
        <w:tc>
          <w:tcPr>
            <w:tcW w:w="1507" w:type="dxa"/>
            <w:vAlign w:val="center"/>
          </w:tcPr>
          <w:p w14:paraId="474BF0B6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508" w:type="dxa"/>
            <w:vAlign w:val="center"/>
          </w:tcPr>
          <w:p w14:paraId="475E45EA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0.97</w:t>
            </w:r>
          </w:p>
        </w:tc>
        <w:tc>
          <w:tcPr>
            <w:tcW w:w="1507" w:type="dxa"/>
            <w:vAlign w:val="center"/>
          </w:tcPr>
          <w:p w14:paraId="06AD0D02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0.96</w:t>
            </w:r>
          </w:p>
        </w:tc>
        <w:tc>
          <w:tcPr>
            <w:tcW w:w="1508" w:type="dxa"/>
            <w:vAlign w:val="center"/>
          </w:tcPr>
          <w:p w14:paraId="37D8C7E4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0.90</w:t>
            </w:r>
          </w:p>
        </w:tc>
      </w:tr>
      <w:tr w:rsidR="00202390" w:rsidRPr="004C0FDD" w14:paraId="3FCF0E81" w14:textId="77777777" w:rsidTr="00F227B5">
        <w:tc>
          <w:tcPr>
            <w:tcW w:w="1260" w:type="dxa"/>
          </w:tcPr>
          <w:p w14:paraId="4F6E6D45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</w:tcPr>
          <w:p w14:paraId="5A62E15B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Nonjudging</w:t>
            </w:r>
          </w:p>
        </w:tc>
        <w:tc>
          <w:tcPr>
            <w:tcW w:w="1507" w:type="dxa"/>
            <w:vAlign w:val="center"/>
          </w:tcPr>
          <w:p w14:paraId="1E6C527A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508" w:type="dxa"/>
            <w:vAlign w:val="center"/>
          </w:tcPr>
          <w:p w14:paraId="3CA4D3CF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0.96</w:t>
            </w:r>
          </w:p>
        </w:tc>
        <w:tc>
          <w:tcPr>
            <w:tcW w:w="1507" w:type="dxa"/>
            <w:vAlign w:val="center"/>
          </w:tcPr>
          <w:p w14:paraId="1A5E7C9A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0.97</w:t>
            </w:r>
          </w:p>
        </w:tc>
        <w:tc>
          <w:tcPr>
            <w:tcW w:w="1508" w:type="dxa"/>
            <w:vAlign w:val="center"/>
          </w:tcPr>
          <w:p w14:paraId="35DECF9A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</w:tr>
      <w:tr w:rsidR="00202390" w:rsidRPr="004C0FDD" w14:paraId="0B9B13A9" w14:textId="77777777" w:rsidTr="00F227B5">
        <w:tc>
          <w:tcPr>
            <w:tcW w:w="1260" w:type="dxa"/>
          </w:tcPr>
          <w:p w14:paraId="056C3040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</w:tcPr>
          <w:p w14:paraId="2283C25F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Nonreactivity</w:t>
            </w:r>
          </w:p>
        </w:tc>
        <w:tc>
          <w:tcPr>
            <w:tcW w:w="1507" w:type="dxa"/>
            <w:vAlign w:val="center"/>
          </w:tcPr>
          <w:p w14:paraId="33C4760D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  <w:tc>
          <w:tcPr>
            <w:tcW w:w="1508" w:type="dxa"/>
            <w:vAlign w:val="center"/>
          </w:tcPr>
          <w:p w14:paraId="12F1ABC3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0.96</w:t>
            </w:r>
          </w:p>
        </w:tc>
        <w:tc>
          <w:tcPr>
            <w:tcW w:w="1507" w:type="dxa"/>
            <w:vAlign w:val="center"/>
          </w:tcPr>
          <w:p w14:paraId="5C5725EA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0.97</w:t>
            </w:r>
          </w:p>
        </w:tc>
        <w:tc>
          <w:tcPr>
            <w:tcW w:w="1508" w:type="dxa"/>
            <w:vAlign w:val="center"/>
          </w:tcPr>
          <w:p w14:paraId="16566631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0.87</w:t>
            </w:r>
          </w:p>
        </w:tc>
      </w:tr>
      <w:tr w:rsidR="00202390" w:rsidRPr="004C0FDD" w14:paraId="2F5E8000" w14:textId="77777777" w:rsidTr="00F227B5">
        <w:trPr>
          <w:trHeight w:val="207"/>
        </w:trPr>
        <w:tc>
          <w:tcPr>
            <w:tcW w:w="1260" w:type="dxa"/>
          </w:tcPr>
          <w:p w14:paraId="574DF42A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</w:tcPr>
          <w:p w14:paraId="649CCAD1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Observing</w:t>
            </w:r>
          </w:p>
        </w:tc>
        <w:tc>
          <w:tcPr>
            <w:tcW w:w="1507" w:type="dxa"/>
            <w:vAlign w:val="center"/>
          </w:tcPr>
          <w:p w14:paraId="6E1DB2C7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0.95</w:t>
            </w:r>
          </w:p>
        </w:tc>
        <w:tc>
          <w:tcPr>
            <w:tcW w:w="1508" w:type="dxa"/>
            <w:vAlign w:val="center"/>
          </w:tcPr>
          <w:p w14:paraId="046069FE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0.94</w:t>
            </w:r>
          </w:p>
        </w:tc>
        <w:tc>
          <w:tcPr>
            <w:tcW w:w="1507" w:type="dxa"/>
            <w:vAlign w:val="center"/>
          </w:tcPr>
          <w:p w14:paraId="01CEE5C2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0.94</w:t>
            </w:r>
          </w:p>
        </w:tc>
        <w:tc>
          <w:tcPr>
            <w:tcW w:w="1508" w:type="dxa"/>
            <w:vAlign w:val="center"/>
          </w:tcPr>
          <w:p w14:paraId="7950E497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</w:tr>
      <w:tr w:rsidR="00202390" w:rsidRPr="004C0FDD" w14:paraId="3A2276D4" w14:textId="77777777" w:rsidTr="00F227B5">
        <w:trPr>
          <w:trHeight w:val="207"/>
        </w:trPr>
        <w:tc>
          <w:tcPr>
            <w:tcW w:w="1260" w:type="dxa"/>
          </w:tcPr>
          <w:p w14:paraId="5761563E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MSE</w:t>
            </w:r>
          </w:p>
        </w:tc>
        <w:tc>
          <w:tcPr>
            <w:tcW w:w="2070" w:type="dxa"/>
          </w:tcPr>
          <w:p w14:paraId="4C3664FC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Acting with awareness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CF6EE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9EB12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BC684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B798A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</w:tr>
      <w:tr w:rsidR="00202390" w:rsidRPr="004C0FDD" w14:paraId="15CFE137" w14:textId="77777777" w:rsidTr="00F227B5">
        <w:trPr>
          <w:trHeight w:val="207"/>
        </w:trPr>
        <w:tc>
          <w:tcPr>
            <w:tcW w:w="1260" w:type="dxa"/>
          </w:tcPr>
          <w:p w14:paraId="573578BC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</w:tcPr>
          <w:p w14:paraId="39659658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Describing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583D7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F88BA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D1531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2FFE5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</w:tr>
      <w:tr w:rsidR="00202390" w:rsidRPr="004C0FDD" w14:paraId="203D7861" w14:textId="77777777" w:rsidTr="00F227B5">
        <w:trPr>
          <w:trHeight w:val="207"/>
        </w:trPr>
        <w:tc>
          <w:tcPr>
            <w:tcW w:w="1260" w:type="dxa"/>
          </w:tcPr>
          <w:p w14:paraId="62FFB978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</w:tcPr>
          <w:p w14:paraId="077B1D2B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Nonjudging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AB5AB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819B1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E7A76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CCE92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</w:tr>
      <w:tr w:rsidR="00202390" w:rsidRPr="004C0FDD" w14:paraId="246E4BC0" w14:textId="77777777" w:rsidTr="00F227B5">
        <w:trPr>
          <w:trHeight w:val="207"/>
        </w:trPr>
        <w:tc>
          <w:tcPr>
            <w:tcW w:w="1260" w:type="dxa"/>
          </w:tcPr>
          <w:p w14:paraId="713FE3B2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</w:tcPr>
          <w:p w14:paraId="3B0F284A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Nonreactivity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965D7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4C378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BAEAE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C1E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</w:tr>
      <w:tr w:rsidR="00202390" w:rsidRPr="004C0FDD" w14:paraId="574A6523" w14:textId="77777777" w:rsidTr="00F227B5">
        <w:trPr>
          <w:trHeight w:val="207"/>
        </w:trPr>
        <w:tc>
          <w:tcPr>
            <w:tcW w:w="1260" w:type="dxa"/>
            <w:tcBorders>
              <w:bottom w:val="single" w:sz="4" w:space="0" w:color="auto"/>
            </w:tcBorders>
          </w:tcPr>
          <w:p w14:paraId="365CB7DA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E05FB64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hAnsi="Times New Roman" w:cs="Times New Roman"/>
                <w:sz w:val="20"/>
                <w:szCs w:val="20"/>
              </w:rPr>
              <w:t>Observing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9F2F5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A93B8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1D734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9CC2B" w14:textId="77777777" w:rsidR="00202390" w:rsidRPr="004C0FDD" w:rsidRDefault="00202390" w:rsidP="00F227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0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</w:tr>
    </w:tbl>
    <w:p w14:paraId="5C16CF8C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i/>
          <w:sz w:val="20"/>
          <w:szCs w:val="20"/>
        </w:rPr>
        <w:t xml:space="preserve">Note. </w:t>
      </w:r>
      <w:r w:rsidRPr="004C0FDD">
        <w:rPr>
          <w:rFonts w:ascii="Times New Roman" w:hAnsi="Times New Roman" w:cs="Times New Roman"/>
          <w:sz w:val="20"/>
          <w:szCs w:val="20"/>
        </w:rPr>
        <w:t>MSE = mean squared error.  All values were computed in the holdout half of the sample, or using cases that were not included when calibrating the IRT scoring model.</w:t>
      </w:r>
    </w:p>
    <w:p w14:paraId="722513E9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79BA9F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2390" w:rsidRPr="004C0FDD" w:rsidSect="00E430B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FF92BAC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sz w:val="20"/>
          <w:szCs w:val="20"/>
        </w:rPr>
        <w:lastRenderedPageBreak/>
        <w:t>Figure S1</w:t>
      </w:r>
    </w:p>
    <w:p w14:paraId="550D2B04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i/>
          <w:sz w:val="20"/>
          <w:szCs w:val="20"/>
        </w:rPr>
        <w:t>Distribution of Sum Scores on Facets in Primary Sample</w:t>
      </w:r>
    </w:p>
    <w:p w14:paraId="753827DE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65E73AD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E4821FF" wp14:editId="004CFC2C">
            <wp:extent cx="5943600" cy="6675120"/>
            <wp:effectExtent l="0" t="0" r="0" b="5080"/>
            <wp:docPr id="9" name="Picture 9" descr="../../../github/ffmq-psychometrics/output/fig-histograms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../../../github/ffmq-psychometrics/output/fig-histograms.pd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7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8696B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202390" w:rsidRPr="004C0FDD" w:rsidSect="00E430B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4C0FDD">
        <w:rPr>
          <w:rFonts w:ascii="Times New Roman" w:hAnsi="Times New Roman" w:cs="Times New Roman"/>
          <w:i/>
          <w:sz w:val="20"/>
          <w:szCs w:val="20"/>
        </w:rPr>
        <w:t>Note.</w:t>
      </w:r>
      <w:r w:rsidRPr="004C0FDD">
        <w:rPr>
          <w:rFonts w:ascii="Times New Roman" w:hAnsi="Times New Roman" w:cs="Times New Roman"/>
          <w:sz w:val="20"/>
          <w:szCs w:val="20"/>
        </w:rPr>
        <w:t xml:space="preserve">  Each panel shows histogram of facet scores for combination of facet (rows) and form (columns).  </w:t>
      </w:r>
      <w:r w:rsidRPr="004C0FDD">
        <w:rPr>
          <w:rFonts w:ascii="Times New Roman" w:hAnsi="Times New Roman" w:cs="Times New Roman"/>
          <w:i/>
          <w:sz w:val="20"/>
          <w:szCs w:val="20"/>
        </w:rPr>
        <w:t>N</w:t>
      </w:r>
      <w:r w:rsidRPr="004C0FDD">
        <w:rPr>
          <w:rFonts w:ascii="Times New Roman" w:hAnsi="Times New Roman" w:cs="Times New Roman"/>
          <w:sz w:val="20"/>
          <w:szCs w:val="20"/>
        </w:rPr>
        <w:t xml:space="preserve"> = 522 within each panel.</w:t>
      </w:r>
    </w:p>
    <w:p w14:paraId="3C412934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sz w:val="20"/>
          <w:szCs w:val="20"/>
        </w:rPr>
        <w:lastRenderedPageBreak/>
        <w:t>Figure S2</w:t>
      </w:r>
      <w:bookmarkStart w:id="0" w:name="_GoBack"/>
      <w:bookmarkEnd w:id="0"/>
    </w:p>
    <w:p w14:paraId="2AD68922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4C0FDD">
        <w:rPr>
          <w:rFonts w:ascii="Times New Roman" w:hAnsi="Times New Roman" w:cs="Times New Roman"/>
          <w:i/>
          <w:sz w:val="20"/>
          <w:szCs w:val="20"/>
        </w:rPr>
        <w:t>Item Information Curves for FFMQ-24</w:t>
      </w:r>
    </w:p>
    <w:p w14:paraId="03579DA5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53477092" w14:textId="77777777" w:rsidR="00202390" w:rsidRPr="004C0FDD" w:rsidRDefault="006B3AF6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472D0DE" wp14:editId="63C3A6EB">
            <wp:extent cx="8229600" cy="4114800"/>
            <wp:effectExtent l="0" t="0" r="0" b="0"/>
            <wp:docPr id="1" name="Picture 1" descr="../../fig-irt-itemfunc-retention-bohlmeijer2011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fig-irt-itemfunc-retention-bohlmeijer2011.pd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682A1" w14:textId="77777777" w:rsidR="00202390" w:rsidRPr="004C0FDD" w:rsidRDefault="00202390" w:rsidP="00202390">
      <w:pPr>
        <w:rPr>
          <w:rFonts w:ascii="Times New Roman" w:hAnsi="Times New Roman" w:cs="Times New Roman"/>
          <w:sz w:val="20"/>
          <w:szCs w:val="20"/>
        </w:rPr>
        <w:sectPr w:rsidR="00202390" w:rsidRPr="004C0FDD" w:rsidSect="00560EE2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 w:rsidRPr="004C0FDD">
        <w:rPr>
          <w:rFonts w:ascii="Times New Roman" w:hAnsi="Times New Roman" w:cs="Times New Roman"/>
          <w:i/>
          <w:sz w:val="20"/>
          <w:szCs w:val="20"/>
        </w:rPr>
        <w:t>Note.</w:t>
      </w:r>
      <w:r w:rsidRPr="004C0FDD">
        <w:rPr>
          <w:rFonts w:ascii="Times New Roman" w:hAnsi="Times New Roman" w:cs="Times New Roman"/>
          <w:sz w:val="20"/>
          <w:szCs w:val="20"/>
        </w:rPr>
        <w:t xml:space="preserve"> Each curve indicates the information in a specific item, conditional on the individual’s level of the latent variable (“theta”).  Numbering indicates the item number, and red lines indicate those items retained in (versus excluded from) the FFMQ-24.  Each panel indicates item functioning for a specific combination of facet (columns) and sample (rows).</w:t>
      </w:r>
    </w:p>
    <w:p w14:paraId="52BE426A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sz w:val="20"/>
          <w:szCs w:val="20"/>
        </w:rPr>
        <w:lastRenderedPageBreak/>
        <w:t>Figure S3</w:t>
      </w:r>
    </w:p>
    <w:p w14:paraId="6806B3F2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4C0FDD">
        <w:rPr>
          <w:rFonts w:ascii="Times New Roman" w:hAnsi="Times New Roman" w:cs="Times New Roman"/>
          <w:i/>
          <w:sz w:val="20"/>
          <w:szCs w:val="20"/>
        </w:rPr>
        <w:t>Item Information Curves for FFMQ-15</w:t>
      </w:r>
    </w:p>
    <w:p w14:paraId="64324A24" w14:textId="77777777" w:rsidR="00202390" w:rsidRPr="004C0FDD" w:rsidRDefault="00202390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8533140" w14:textId="77777777" w:rsidR="00202390" w:rsidRPr="004C0FDD" w:rsidRDefault="006B3AF6" w:rsidP="0020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3E77E87" wp14:editId="42EDF63B">
            <wp:extent cx="8229600" cy="4114800"/>
            <wp:effectExtent l="0" t="0" r="0" b="0"/>
            <wp:docPr id="2" name="Picture 2" descr="../../fig-irt-itemfunc-retention-baer2012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fig-irt-itemfunc-retention-baer2012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54CDA" w14:textId="77777777" w:rsidR="00202390" w:rsidRPr="004C0FDD" w:rsidRDefault="00202390" w:rsidP="00202390">
      <w:pPr>
        <w:rPr>
          <w:rFonts w:ascii="Times New Roman" w:hAnsi="Times New Roman" w:cs="Times New Roman"/>
          <w:sz w:val="20"/>
          <w:szCs w:val="20"/>
        </w:rPr>
      </w:pPr>
      <w:r w:rsidRPr="004C0FDD">
        <w:rPr>
          <w:rFonts w:ascii="Times New Roman" w:hAnsi="Times New Roman" w:cs="Times New Roman"/>
          <w:i/>
          <w:sz w:val="20"/>
          <w:szCs w:val="20"/>
        </w:rPr>
        <w:t>Note.</w:t>
      </w:r>
      <w:r w:rsidRPr="004C0FDD">
        <w:rPr>
          <w:rFonts w:ascii="Times New Roman" w:hAnsi="Times New Roman" w:cs="Times New Roman"/>
          <w:sz w:val="20"/>
          <w:szCs w:val="20"/>
        </w:rPr>
        <w:t xml:space="preserve"> Each curve indicates the information in a specific item, conditional on the individual’s level of the latent variable (“theta”).  Numbering indicates the item number, and red lines indicate those items retained in (versus excluded from) the FFMQ-15.  Each panel indicates item functioning for a specific combination of facet (columns) and sample (rows).</w:t>
      </w:r>
    </w:p>
    <w:p w14:paraId="3CB2108D" w14:textId="77777777" w:rsidR="00202390" w:rsidRPr="007B32AD" w:rsidRDefault="00202390" w:rsidP="00202390"/>
    <w:p w14:paraId="1631C465" w14:textId="77777777" w:rsidR="00D8634D" w:rsidRDefault="00D8634D"/>
    <w:sectPr w:rsidR="00D8634D" w:rsidSect="00E70A64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A01EE" w14:textId="77777777" w:rsidR="006609FD" w:rsidRDefault="006609FD">
      <w:pPr>
        <w:spacing w:after="0" w:line="240" w:lineRule="auto"/>
      </w:pPr>
      <w:r>
        <w:separator/>
      </w:r>
    </w:p>
  </w:endnote>
  <w:endnote w:type="continuationSeparator" w:id="0">
    <w:p w14:paraId="0465FB9F" w14:textId="77777777" w:rsidR="006609FD" w:rsidRDefault="0066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005FB" w14:textId="77777777" w:rsidR="006609FD" w:rsidRDefault="006609FD">
      <w:pPr>
        <w:spacing w:after="0" w:line="240" w:lineRule="auto"/>
      </w:pPr>
      <w:r>
        <w:separator/>
      </w:r>
    </w:p>
  </w:footnote>
  <w:footnote w:type="continuationSeparator" w:id="0">
    <w:p w14:paraId="33AE2C95" w14:textId="77777777" w:rsidR="006609FD" w:rsidRDefault="00660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84BA60" w14:textId="77777777" w:rsidR="00B17945" w:rsidRPr="004C0FDD" w:rsidRDefault="006609FD" w:rsidP="0059003B">
    <w:pPr>
      <w:pStyle w:val="Header"/>
      <w:ind w:right="360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9F22DD"/>
    <w:multiLevelType w:val="hybridMultilevel"/>
    <w:tmpl w:val="467EBD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390"/>
    <w:rsid w:val="001510FB"/>
    <w:rsid w:val="00202390"/>
    <w:rsid w:val="00535D02"/>
    <w:rsid w:val="006609FD"/>
    <w:rsid w:val="006B3AF6"/>
    <w:rsid w:val="007E0287"/>
    <w:rsid w:val="00B34BEC"/>
    <w:rsid w:val="00D659FB"/>
    <w:rsid w:val="00D8634D"/>
    <w:rsid w:val="00E7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0D693"/>
  <w15:docId w15:val="{FED17415-E664-4DB1-9D63-71648AEEE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02390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23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02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390"/>
    <w:rPr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202390"/>
  </w:style>
  <w:style w:type="table" w:styleId="TableGrid">
    <w:name w:val="Table Grid"/>
    <w:basedOn w:val="TableNormal"/>
    <w:uiPriority w:val="39"/>
    <w:rsid w:val="0020239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2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390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70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A6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image" Target="media/image2.emf"/><Relationship Id="rId9" Type="http://schemas.openxmlformats.org/officeDocument/2006/relationships/image" Target="media/image3.emf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631</Words>
  <Characters>3597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RICTUBO</dc:creator>
  <cp:lastModifiedBy>William Pelham (Student)</cp:lastModifiedBy>
  <cp:revision>5</cp:revision>
  <dcterms:created xsi:type="dcterms:W3CDTF">2019-02-04T23:43:00Z</dcterms:created>
  <dcterms:modified xsi:type="dcterms:W3CDTF">2019-02-05T03:03:00Z</dcterms:modified>
</cp:coreProperties>
</file>